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D595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9pt;visibility:visible">
            <v:imagedata r:id="rId6" o:title=""/>
          </v:shape>
        </w:pict>
      </w: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УКРАЇНА</w:t>
      </w: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ХМЕЛЬНИЦЬКА РАЙОННА ДЕРЖАВНА АДМІНІСТРАЦІЯ</w:t>
      </w:r>
    </w:p>
    <w:p w:rsidR="005979DF" w:rsidRPr="003B0167" w:rsidRDefault="005979DF" w:rsidP="003D3ED9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ХМЕЛЬНИЦЬКОЇ ОБЛАСТІ</w:t>
      </w: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РОЗПОРЯДЖЕННЯ</w:t>
      </w: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979DF" w:rsidRPr="003B0167" w:rsidRDefault="005979DF" w:rsidP="00E146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20.06.2018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>Хмельницький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</w:t>
      </w:r>
      <w:r w:rsidRPr="003B016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309/2018-р</w:t>
      </w:r>
    </w:p>
    <w:p w:rsidR="005979DF" w:rsidRPr="003B0167" w:rsidRDefault="005979DF" w:rsidP="003D3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3B016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3B016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Pr="003B0167" w:rsidRDefault="005979DF" w:rsidP="003B016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4956" w:type="pct"/>
        <w:tblInd w:w="-106" w:type="dxa"/>
        <w:tblLook w:val="01E0"/>
      </w:tblPr>
      <w:tblGrid>
        <w:gridCol w:w="4145"/>
        <w:gridCol w:w="5622"/>
      </w:tblGrid>
      <w:tr w:rsidR="005979DF" w:rsidRPr="00F6439F">
        <w:trPr>
          <w:trHeight w:val="904"/>
        </w:trPr>
        <w:tc>
          <w:tcPr>
            <w:tcW w:w="2122" w:type="pct"/>
          </w:tcPr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3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акта комісії</w:t>
            </w:r>
          </w:p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3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визначенню розміру збитків, </w:t>
            </w:r>
          </w:p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3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заподіяних власникам землі та</w:t>
            </w:r>
          </w:p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3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землекористувачам</w:t>
            </w:r>
          </w:p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8" w:type="pct"/>
          </w:tcPr>
          <w:p w:rsidR="005979DF" w:rsidRPr="00F6439F" w:rsidRDefault="005979DF" w:rsidP="00B8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9DF" w:rsidRPr="007E4E86" w:rsidRDefault="005979DF" w:rsidP="009D1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Керуючись ст</w:t>
      </w:r>
      <w:r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6, 39 Закону України «Про місцеві державні адміністрації», Постановою Кабінету Міністрів України від 19 квітня 1993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284 «Про порядок визначення та відшкодування збитків власникам землі та землекористувачам», Положенням про комісію по визначенню розміру збитків, заподіяних власникам землі та землекористувачам</w:t>
      </w:r>
      <w:r>
        <w:rPr>
          <w:rFonts w:ascii="Times New Roman" w:hAnsi="Times New Roman" w:cs="Times New Roman"/>
          <w:sz w:val="24"/>
          <w:szCs w:val="24"/>
          <w:lang w:val="uk-UA"/>
        </w:rPr>
        <w:t>, затвердженим розпорядженням голови районної державної адміністрації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від 06.12.2012 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2440/2012-р</w:t>
      </w:r>
      <w:r w:rsidRPr="007E4E8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979DF" w:rsidRPr="003228E2" w:rsidRDefault="005979DF" w:rsidP="00322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Pr="003228E2" w:rsidRDefault="005979DF" w:rsidP="00322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акт комісії по визначенню розміру збитків, заподіяних власникам землі та землекористувачам від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 року (додається).</w:t>
      </w:r>
    </w:p>
    <w:p w:rsidR="005979DF" w:rsidRPr="003228E2" w:rsidRDefault="005979DF" w:rsidP="00322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Pr="003228E2" w:rsidRDefault="005979DF" w:rsidP="00322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виконанням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цього 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розпорядження покласти на заступника голови районної державної адміністрації відповідно до розподілу обов</w:t>
      </w:r>
      <w:r w:rsidRPr="003228E2">
        <w:rPr>
          <w:rFonts w:ascii="Times New Roman" w:hAnsi="Times New Roman" w:cs="Times New Roman"/>
          <w:sz w:val="24"/>
          <w:szCs w:val="24"/>
        </w:rPr>
        <w:t>’</w:t>
      </w:r>
      <w:r w:rsidRPr="003228E2">
        <w:rPr>
          <w:rFonts w:ascii="Times New Roman" w:hAnsi="Times New Roman" w:cs="Times New Roman"/>
          <w:sz w:val="24"/>
          <w:szCs w:val="24"/>
          <w:lang w:val="uk-UA"/>
        </w:rPr>
        <w:t>язків.</w:t>
      </w:r>
    </w:p>
    <w:p w:rsidR="005979DF" w:rsidRDefault="005979DF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Pr="00B84587" w:rsidRDefault="005979DF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Pr="00B84587" w:rsidRDefault="005979DF" w:rsidP="00B84587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B84587">
        <w:rPr>
          <w:rFonts w:ascii="Times New Roman" w:hAnsi="Times New Roman" w:cs="Times New Roman"/>
          <w:sz w:val="24"/>
          <w:szCs w:val="24"/>
          <w:lang w:val="uk-UA"/>
        </w:rPr>
        <w:t>олов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84587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адміністрації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Л.Коменда</w:t>
      </w:r>
      <w:r w:rsidRPr="00B8458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8458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979DF" w:rsidRDefault="005979DF" w:rsidP="003B0167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Default="005979DF" w:rsidP="00D80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ind w:firstLine="62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ЗАТВЕРДЖЕНО</w:t>
      </w:r>
    </w:p>
    <w:p w:rsidR="005979DF" w:rsidRPr="000C1F76" w:rsidRDefault="005979DF" w:rsidP="000C1F76">
      <w:pPr>
        <w:keepNext/>
        <w:widowControl w:val="0"/>
        <w:spacing w:after="0" w:line="240" w:lineRule="auto"/>
        <w:ind w:firstLine="62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Розпорядження голови</w:t>
      </w:r>
    </w:p>
    <w:p w:rsidR="005979DF" w:rsidRPr="000C1F76" w:rsidRDefault="005979DF" w:rsidP="000C1F76">
      <w:pPr>
        <w:keepNext/>
        <w:widowControl w:val="0"/>
        <w:spacing w:after="0" w:line="240" w:lineRule="auto"/>
        <w:ind w:firstLine="62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райдержадміністрації</w:t>
      </w:r>
    </w:p>
    <w:p w:rsidR="005979DF" w:rsidRPr="000C1F76" w:rsidRDefault="005979DF" w:rsidP="000C1F76">
      <w:pPr>
        <w:keepNext/>
        <w:widowControl w:val="0"/>
        <w:spacing w:after="0" w:line="240" w:lineRule="auto"/>
        <w:ind w:firstLine="62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20.06.2018</w:t>
      </w: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 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309/2018-р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Акт 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Комісії з визначення та відшкодування збитків власникам землі та землекористувачам</w:t>
      </w:r>
    </w:p>
    <w:p w:rsidR="005979DF" w:rsidRPr="000C1F76" w:rsidRDefault="005979DF" w:rsidP="000C1F76">
      <w:pPr>
        <w:keepNext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27 квітня 2018 року                                                                     м. Хмельницький</w:t>
      </w:r>
    </w:p>
    <w:p w:rsidR="005979DF" w:rsidRPr="000C1F76" w:rsidRDefault="005979DF" w:rsidP="000C1F76">
      <w:pPr>
        <w:keepNext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Комісія з визначення та відшкодування збитків власникам землі та землекористувачам створена відповідно до розпорядження голови адміністрації від 06 грудня 2012 року № 2440/2012-р.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у такому складі: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3308"/>
        <w:gridCol w:w="754"/>
        <w:gridCol w:w="5792"/>
      </w:tblGrid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Зелінський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Андрій Леонідович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Островерха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Михайло Ярославович                                           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голови райдержадміністрації, голова комісії;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відділу агропромислового розвитку райдержадміністрації, заступник голови комісії;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Кулеша 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Інна Володимирівна                                        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питань врегулювання відносин власності та дорадництва відділу агропромислового розвитку, секретар комісії;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Мединська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Альона Вікторівна          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юридичного відділу апарату райдержадміністрації;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Вишпольський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Микола Миколайович   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містобудування, архітектури, житлово – комунального господарства та будівництва райдержадміністрації; </w:t>
            </w: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Лобунець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Валентинович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управління обслуговування платників ДПІ у м. Хмельницькому ГУ ДФС у Хмельницькій області;</w:t>
            </w: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Маначин 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Валерій Іванович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в. о. начальника Відділу у Хмельницькому районі Головного управління Держгеокадастру у Хмельницькому районі.</w:t>
            </w: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Стратійчук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Петро Вікторович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директор ТОВ «Будтраст»;</w:t>
            </w:r>
          </w:p>
        </w:tc>
      </w:tr>
      <w:tr w:rsidR="005979DF" w:rsidRPr="000C1F76">
        <w:tc>
          <w:tcPr>
            <w:tcW w:w="3426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Кондратюк</w:t>
            </w:r>
          </w:p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Радіон Олександрович</w:t>
            </w:r>
          </w:p>
        </w:tc>
        <w:tc>
          <w:tcPr>
            <w:tcW w:w="793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-</w:t>
            </w:r>
          </w:p>
        </w:tc>
        <w:tc>
          <w:tcPr>
            <w:tcW w:w="6060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представник Чорноострівської селищної ради </w:t>
            </w:r>
          </w:p>
        </w:tc>
      </w:tr>
    </w:tbl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Власник землі: землі комунальної власності Чорноострівської селищної  ради.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Землекористувач, яким заподіяні збитки: ТОВ «Будтраст»».   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>ВСТАНОВИЛА: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1.Земельна ділянка, що використовується, знаходиться на території Чорноострівської селищної   ради за меами населених пунктів с. Бережанка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2. Площа земельної ділянки, яка використовується: 2,0357 га кадастровий номер – 6825086000:06:011:0274 (землі промисловості, транспорту, зв’язку, енергетики, оборони та іншого призначення),  для розміщення та експлуатації основних, підсобних і допоміжних будівель та споруд підприємствами, що пов’язані з користуванням надрами, що знаходиться за межами населених пунктів Чорноостівської селищної ради.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3.  Рішення про передачу в користування земельної ділянки: відсутнє.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4. Рішення про нормативну грошову оцінку земельної ділянки: рішення Хмельницької районної ради  від 08.04.2015р. № 27-27/2015 «Про затвердження технічної документації з нормативної грошової оцінки земельних ділянок»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 xml:space="preserve"> 5. Наявність правовстановлюючих документів на землю: відсутні.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 xml:space="preserve"> 6. Період використання земельної ділянки, який береться до розрахунку (в межах терміну позовної давності): з 25.08.2015р. по 27.04.2018р. (включно). 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 xml:space="preserve"> 7. Розмір збитків, завданих Чорноострівській селищній раді: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Нормативно грошова оцінка: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станом на 08.04.2015р. – 1011539 грн.;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станом на 01.01.2016р. – 1011539 грн.;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станом на 01.01.2017р. – 1011539 грн.;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          станом на 01.01.2018р. – 1011539 грн.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Ставка орендної плати – 3%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Розмір збитків: 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2015 р. (25.08.2015р. – 31.12.2015р.) 1011539 х 3% : 365днів х 129 днів = 1293  грн.;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2016р. 1011539 х 3% = 30346,17 грн.;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2017р. (01.01.2017р. – 31.12.2017р.) 1011539 х 3%  = 30346,1грн.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         2018р. (01.01.2018р. – 27.04.2018р.) 1011539 х 3% : 365 днів х 117 днів =9727,4 грн. 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Розмір збитків нарахований в сумі: 1293 грн. + 30346,17 грн. + 30346,1 грн. + 9727,4  = 71 712,67 гривень.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8. Розмір збитків за період 25.08.2015р. по 27.04.2018р. (включно) для погашення становить 71 712,67 гривень.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ab/>
        <w:t>9. Термін, що встановлений для сплати завданих збитків:  1 місяць з дня затвердження акта комісії.</w:t>
      </w:r>
    </w:p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3584"/>
        <w:gridCol w:w="2914"/>
        <w:gridCol w:w="2121"/>
        <w:gridCol w:w="1235"/>
      </w:tblGrid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3042" w:type="dxa"/>
            <w:tcBorders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Зелінський А.Л.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Члени комісії         </w:t>
            </w: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Островерха М.Я.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Кулеша І.В.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</w:t>
            </w: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Мединська А.В.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Вишпольський М.М.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Лобунець А.В.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Маначин В.І.</w:t>
            </w:r>
          </w:p>
        </w:tc>
      </w:tr>
      <w:tr w:rsidR="005979DF" w:rsidRPr="000C1F76"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27" w:type="dxa"/>
            <w:gridSpan w:val="2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Кондратюк Р.О.</w:t>
            </w:r>
          </w:p>
        </w:tc>
      </w:tr>
      <w:tr w:rsidR="005979DF" w:rsidRPr="000C1F76">
        <w:trPr>
          <w:gridAfter w:val="1"/>
          <w:wAfter w:w="1281" w:type="dxa"/>
        </w:trPr>
        <w:tc>
          <w:tcPr>
            <w:tcW w:w="3708" w:type="dxa"/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46" w:type="dxa"/>
            <w:tcBorders>
              <w:left w:val="nil"/>
            </w:tcBorders>
          </w:tcPr>
          <w:p w:rsidR="005979DF" w:rsidRPr="000C1F76" w:rsidRDefault="005979DF" w:rsidP="000C1F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C1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Стратійчук П.В.</w:t>
            </w:r>
          </w:p>
        </w:tc>
      </w:tr>
    </w:tbl>
    <w:p w:rsidR="005979DF" w:rsidRPr="000C1F76" w:rsidRDefault="005979DF" w:rsidP="000C1F76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1F7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</w:t>
      </w:r>
    </w:p>
    <w:sectPr w:rsidR="005979DF" w:rsidRPr="000C1F76" w:rsidSect="003228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9DF" w:rsidRDefault="005979DF" w:rsidP="004D745E">
      <w:pPr>
        <w:spacing w:after="0" w:line="240" w:lineRule="auto"/>
      </w:pPr>
      <w:r>
        <w:separator/>
      </w:r>
    </w:p>
  </w:endnote>
  <w:endnote w:type="continuationSeparator" w:id="0">
    <w:p w:rsidR="005979DF" w:rsidRDefault="005979DF" w:rsidP="004D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9DF" w:rsidRDefault="005979DF" w:rsidP="004D745E">
      <w:pPr>
        <w:spacing w:after="0" w:line="240" w:lineRule="auto"/>
      </w:pPr>
      <w:r>
        <w:separator/>
      </w:r>
    </w:p>
  </w:footnote>
  <w:footnote w:type="continuationSeparator" w:id="0">
    <w:p w:rsidR="005979DF" w:rsidRDefault="005979DF" w:rsidP="004D7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635"/>
    <w:rsid w:val="00011F87"/>
    <w:rsid w:val="00072577"/>
    <w:rsid w:val="000B24AE"/>
    <w:rsid w:val="000C1F76"/>
    <w:rsid w:val="000C6D0C"/>
    <w:rsid w:val="000D0A16"/>
    <w:rsid w:val="000F2344"/>
    <w:rsid w:val="000F69B8"/>
    <w:rsid w:val="00124CB3"/>
    <w:rsid w:val="00132E4E"/>
    <w:rsid w:val="0014313E"/>
    <w:rsid w:val="00143F8C"/>
    <w:rsid w:val="001624C6"/>
    <w:rsid w:val="00181093"/>
    <w:rsid w:val="00184109"/>
    <w:rsid w:val="001853A6"/>
    <w:rsid w:val="001A60F8"/>
    <w:rsid w:val="001A64E3"/>
    <w:rsid w:val="001C5040"/>
    <w:rsid w:val="001D0FD4"/>
    <w:rsid w:val="001E37D6"/>
    <w:rsid w:val="002009F2"/>
    <w:rsid w:val="00223B2A"/>
    <w:rsid w:val="002547E6"/>
    <w:rsid w:val="002615B4"/>
    <w:rsid w:val="00282E5B"/>
    <w:rsid w:val="00291BE7"/>
    <w:rsid w:val="002B4D57"/>
    <w:rsid w:val="002B7DBA"/>
    <w:rsid w:val="002D0277"/>
    <w:rsid w:val="002D3027"/>
    <w:rsid w:val="002D33DE"/>
    <w:rsid w:val="002E462B"/>
    <w:rsid w:val="003228E2"/>
    <w:rsid w:val="0032408F"/>
    <w:rsid w:val="003269EE"/>
    <w:rsid w:val="0033217A"/>
    <w:rsid w:val="00357955"/>
    <w:rsid w:val="003A757F"/>
    <w:rsid w:val="003B0167"/>
    <w:rsid w:val="003B4950"/>
    <w:rsid w:val="003C0A61"/>
    <w:rsid w:val="003C1A32"/>
    <w:rsid w:val="003C1B22"/>
    <w:rsid w:val="003C6896"/>
    <w:rsid w:val="003D3ED9"/>
    <w:rsid w:val="003D666D"/>
    <w:rsid w:val="003D709E"/>
    <w:rsid w:val="003E5464"/>
    <w:rsid w:val="003F6A2F"/>
    <w:rsid w:val="00432B9D"/>
    <w:rsid w:val="0045084A"/>
    <w:rsid w:val="004655A2"/>
    <w:rsid w:val="0047004F"/>
    <w:rsid w:val="00481CE5"/>
    <w:rsid w:val="004A3CB1"/>
    <w:rsid w:val="004D64EA"/>
    <w:rsid w:val="004D745E"/>
    <w:rsid w:val="004F7196"/>
    <w:rsid w:val="00501A0E"/>
    <w:rsid w:val="00526CA3"/>
    <w:rsid w:val="00572444"/>
    <w:rsid w:val="00576F4D"/>
    <w:rsid w:val="00577B90"/>
    <w:rsid w:val="005979DF"/>
    <w:rsid w:val="005B30D1"/>
    <w:rsid w:val="005C7366"/>
    <w:rsid w:val="005E2BB3"/>
    <w:rsid w:val="0060036E"/>
    <w:rsid w:val="0060783E"/>
    <w:rsid w:val="00607F70"/>
    <w:rsid w:val="00633298"/>
    <w:rsid w:val="006332C2"/>
    <w:rsid w:val="00651E68"/>
    <w:rsid w:val="00655F58"/>
    <w:rsid w:val="00680876"/>
    <w:rsid w:val="006840A3"/>
    <w:rsid w:val="00692613"/>
    <w:rsid w:val="006C1D6F"/>
    <w:rsid w:val="006D26D1"/>
    <w:rsid w:val="006D5953"/>
    <w:rsid w:val="006D6AE5"/>
    <w:rsid w:val="006E2769"/>
    <w:rsid w:val="00753C91"/>
    <w:rsid w:val="00792EE9"/>
    <w:rsid w:val="007A38C7"/>
    <w:rsid w:val="007A7D4E"/>
    <w:rsid w:val="007B17D7"/>
    <w:rsid w:val="007C31A1"/>
    <w:rsid w:val="007E4E86"/>
    <w:rsid w:val="007F1464"/>
    <w:rsid w:val="00831303"/>
    <w:rsid w:val="00835E12"/>
    <w:rsid w:val="0088426B"/>
    <w:rsid w:val="008952E8"/>
    <w:rsid w:val="008B1E8D"/>
    <w:rsid w:val="008B1FE4"/>
    <w:rsid w:val="008D5C13"/>
    <w:rsid w:val="008E2B2B"/>
    <w:rsid w:val="00923CD8"/>
    <w:rsid w:val="0092746C"/>
    <w:rsid w:val="00944275"/>
    <w:rsid w:val="00946C08"/>
    <w:rsid w:val="00964DB1"/>
    <w:rsid w:val="009A620C"/>
    <w:rsid w:val="009C4A7E"/>
    <w:rsid w:val="009C71DE"/>
    <w:rsid w:val="009C775D"/>
    <w:rsid w:val="009D136E"/>
    <w:rsid w:val="009D5241"/>
    <w:rsid w:val="009E0834"/>
    <w:rsid w:val="009E547E"/>
    <w:rsid w:val="009F4431"/>
    <w:rsid w:val="009F4C94"/>
    <w:rsid w:val="00A15ECA"/>
    <w:rsid w:val="00A21112"/>
    <w:rsid w:val="00A5023B"/>
    <w:rsid w:val="00A544F4"/>
    <w:rsid w:val="00A635A1"/>
    <w:rsid w:val="00A6729B"/>
    <w:rsid w:val="00A80D56"/>
    <w:rsid w:val="00AB0411"/>
    <w:rsid w:val="00AC4E44"/>
    <w:rsid w:val="00AF55D5"/>
    <w:rsid w:val="00AF6F90"/>
    <w:rsid w:val="00B06776"/>
    <w:rsid w:val="00B100FD"/>
    <w:rsid w:val="00B241D4"/>
    <w:rsid w:val="00B408BB"/>
    <w:rsid w:val="00B61192"/>
    <w:rsid w:val="00B65DE1"/>
    <w:rsid w:val="00B76E64"/>
    <w:rsid w:val="00B84587"/>
    <w:rsid w:val="00BF5ACD"/>
    <w:rsid w:val="00C37CB5"/>
    <w:rsid w:val="00C67DF6"/>
    <w:rsid w:val="00C71751"/>
    <w:rsid w:val="00C865EE"/>
    <w:rsid w:val="00CA0D1C"/>
    <w:rsid w:val="00CA289D"/>
    <w:rsid w:val="00CD15CE"/>
    <w:rsid w:val="00CD438D"/>
    <w:rsid w:val="00CE3438"/>
    <w:rsid w:val="00CF639A"/>
    <w:rsid w:val="00CF654E"/>
    <w:rsid w:val="00D069B3"/>
    <w:rsid w:val="00D214A6"/>
    <w:rsid w:val="00D22E87"/>
    <w:rsid w:val="00D24C18"/>
    <w:rsid w:val="00D31363"/>
    <w:rsid w:val="00D32780"/>
    <w:rsid w:val="00D67824"/>
    <w:rsid w:val="00D80532"/>
    <w:rsid w:val="00D81C3D"/>
    <w:rsid w:val="00D86656"/>
    <w:rsid w:val="00D9334F"/>
    <w:rsid w:val="00DA3249"/>
    <w:rsid w:val="00DC3FEA"/>
    <w:rsid w:val="00DC5E03"/>
    <w:rsid w:val="00DD7FB8"/>
    <w:rsid w:val="00E026A7"/>
    <w:rsid w:val="00E13E9E"/>
    <w:rsid w:val="00E1467E"/>
    <w:rsid w:val="00E454D1"/>
    <w:rsid w:val="00E53635"/>
    <w:rsid w:val="00E57133"/>
    <w:rsid w:val="00E63DA1"/>
    <w:rsid w:val="00E65A72"/>
    <w:rsid w:val="00E71F10"/>
    <w:rsid w:val="00E82B0F"/>
    <w:rsid w:val="00E9174B"/>
    <w:rsid w:val="00EA6053"/>
    <w:rsid w:val="00EC3050"/>
    <w:rsid w:val="00ED3EFB"/>
    <w:rsid w:val="00F05F34"/>
    <w:rsid w:val="00F108BD"/>
    <w:rsid w:val="00F15E12"/>
    <w:rsid w:val="00F56792"/>
    <w:rsid w:val="00F6439F"/>
    <w:rsid w:val="00F6542A"/>
    <w:rsid w:val="00F85153"/>
    <w:rsid w:val="00F90BD0"/>
    <w:rsid w:val="00F92D43"/>
    <w:rsid w:val="00FA1064"/>
    <w:rsid w:val="00FA17EC"/>
    <w:rsid w:val="00FE19B6"/>
    <w:rsid w:val="00FF6900"/>
    <w:rsid w:val="00FF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A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69B8"/>
    <w:pPr>
      <w:ind w:left="720"/>
    </w:pPr>
  </w:style>
  <w:style w:type="table" w:styleId="TableGrid">
    <w:name w:val="Table Grid"/>
    <w:basedOn w:val="TableNormal"/>
    <w:uiPriority w:val="99"/>
    <w:rsid w:val="00E71F1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C0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0A6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C865EE"/>
    <w:pPr>
      <w:spacing w:after="0" w:line="240" w:lineRule="auto"/>
      <w:ind w:right="-85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865EE"/>
    <w:rPr>
      <w:rFonts w:ascii="Times New Roman" w:hAnsi="Times New Roman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4D74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745E"/>
  </w:style>
  <w:style w:type="paragraph" w:styleId="Footer">
    <w:name w:val="footer"/>
    <w:basedOn w:val="Normal"/>
    <w:link w:val="FooterChar"/>
    <w:uiPriority w:val="99"/>
    <w:semiHidden/>
    <w:rsid w:val="004D74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745E"/>
  </w:style>
  <w:style w:type="paragraph" w:styleId="BodyTextIndent3">
    <w:name w:val="Body Text Indent 3"/>
    <w:basedOn w:val="Normal"/>
    <w:link w:val="BodyTextIndent3Char"/>
    <w:uiPriority w:val="99"/>
    <w:semiHidden/>
    <w:rsid w:val="00B8458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8458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16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3</Pages>
  <Words>788</Words>
  <Characters>4493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9</cp:revision>
  <cp:lastPrinted>2018-06-20T13:58:00Z</cp:lastPrinted>
  <dcterms:created xsi:type="dcterms:W3CDTF">2018-05-11T07:37:00Z</dcterms:created>
  <dcterms:modified xsi:type="dcterms:W3CDTF">2018-06-20T13:58:00Z</dcterms:modified>
</cp:coreProperties>
</file>